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A337D" w14:textId="77777777" w:rsidR="003026C9" w:rsidRPr="00DB369D" w:rsidRDefault="003026C9" w:rsidP="00A21FE1">
      <w:pPr>
        <w:pBdr>
          <w:bottom w:val="single" w:sz="4" w:space="1" w:color="auto"/>
        </w:pBdr>
        <w:rPr>
          <w:rFonts w:ascii="Calibri" w:hAnsi="Calibri" w:cs="Calibri"/>
          <w:b/>
          <w:color w:val="323E4F" w:themeColor="text2" w:themeShade="BF"/>
          <w:sz w:val="22"/>
          <w:szCs w:val="22"/>
        </w:rPr>
      </w:pP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>Raport miesięczny Milkpol S</w:t>
      </w:r>
      <w:r w:rsidR="007E5768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>A</w:t>
      </w:r>
      <w:r w:rsidR="007E5768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za m-c </w:t>
      </w:r>
      <w:r w:rsidR="001B4CB3">
        <w:rPr>
          <w:rFonts w:ascii="Calibri" w:hAnsi="Calibri" w:cs="Calibri"/>
          <w:b/>
          <w:color w:val="323E4F" w:themeColor="text2" w:themeShade="BF"/>
          <w:sz w:val="22"/>
          <w:szCs w:val="22"/>
        </w:rPr>
        <w:t>lipiec</w:t>
      </w:r>
      <w:r w:rsidR="00830159"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202</w:t>
      </w:r>
      <w:r w:rsidR="004878F2">
        <w:rPr>
          <w:rFonts w:ascii="Calibri" w:hAnsi="Calibri" w:cs="Calibri"/>
          <w:b/>
          <w:color w:val="323E4F" w:themeColor="text2" w:themeShade="BF"/>
          <w:sz w:val="22"/>
          <w:szCs w:val="22"/>
        </w:rPr>
        <w:t>4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roku</w:t>
      </w:r>
      <w:r w:rsidR="00CD60F2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</w:p>
    <w:p w14:paraId="5BD619F6" w14:textId="77777777" w:rsidR="003026C9" w:rsidRPr="00DB369D" w:rsidRDefault="003026C9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Zarząd Milkpol S</w:t>
      </w:r>
      <w:r w:rsidR="00CD60F2">
        <w:rPr>
          <w:rFonts w:ascii="Calibri" w:hAnsi="Calibri" w:cs="Calibri"/>
          <w:color w:val="000000"/>
          <w:sz w:val="22"/>
          <w:szCs w:val="22"/>
        </w:rPr>
        <w:t xml:space="preserve">półki </w:t>
      </w:r>
      <w:r w:rsidRPr="00DB369D">
        <w:rPr>
          <w:rFonts w:ascii="Calibri" w:hAnsi="Calibri" w:cs="Calibri"/>
          <w:color w:val="000000"/>
          <w:sz w:val="22"/>
          <w:szCs w:val="22"/>
        </w:rPr>
        <w:t>A</w:t>
      </w:r>
      <w:r w:rsidR="00CD60F2">
        <w:rPr>
          <w:rFonts w:ascii="Calibri" w:hAnsi="Calibri" w:cs="Calibri"/>
          <w:color w:val="000000"/>
          <w:sz w:val="22"/>
          <w:szCs w:val="22"/>
        </w:rPr>
        <w:t xml:space="preserve">kcyjnej </w:t>
      </w:r>
      <w:r w:rsidRPr="00DB369D">
        <w:rPr>
          <w:rFonts w:ascii="Calibri" w:hAnsi="Calibri" w:cs="Calibri"/>
          <w:color w:val="000000"/>
          <w:sz w:val="22"/>
          <w:szCs w:val="22"/>
        </w:rPr>
        <w:t>z siedzibą w Czarnocinie (Spółka</w:t>
      </w:r>
      <w:r w:rsidR="00CD60F2">
        <w:rPr>
          <w:rFonts w:ascii="Calibri" w:hAnsi="Calibri" w:cs="Calibri"/>
          <w:color w:val="000000"/>
          <w:sz w:val="22"/>
          <w:szCs w:val="22"/>
        </w:rPr>
        <w:t>, Milkpol S.A.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) przekazuje niniejszym do publicznej wiadomości raport miesięczny za miesiąc </w:t>
      </w:r>
      <w:r w:rsidR="001B4CB3">
        <w:rPr>
          <w:rFonts w:ascii="Calibri" w:hAnsi="Calibri" w:cs="Calibri"/>
          <w:color w:val="000000"/>
          <w:sz w:val="22"/>
          <w:szCs w:val="22"/>
        </w:rPr>
        <w:t>lipiec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</w:t>
      </w:r>
      <w:r w:rsidR="00E02E39">
        <w:rPr>
          <w:rFonts w:ascii="Calibri" w:hAnsi="Calibri" w:cs="Calibri"/>
          <w:color w:val="000000"/>
          <w:sz w:val="22"/>
          <w:szCs w:val="22"/>
        </w:rPr>
        <w:t>2</w:t>
      </w:r>
      <w:r w:rsidR="004878F2">
        <w:rPr>
          <w:rFonts w:ascii="Calibri" w:hAnsi="Calibri" w:cs="Calibri"/>
          <w:color w:val="000000"/>
          <w:sz w:val="22"/>
          <w:szCs w:val="22"/>
        </w:rPr>
        <w:t>4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B369D">
        <w:rPr>
          <w:rFonts w:ascii="Calibri" w:hAnsi="Calibri" w:cs="Calibri"/>
          <w:color w:val="000000"/>
          <w:sz w:val="22"/>
          <w:szCs w:val="22"/>
        </w:rPr>
        <w:t>roku.</w:t>
      </w:r>
    </w:p>
    <w:p w14:paraId="3FAEE8DE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I. Informacje na temat wystąpienia tendencji i zdarzeń w otoczeniu rynkowym Spółki, które w ocenie Spółki mogą mieć w przyszłości istotne skutki dla kondycji finansowej oraz wyników finansowych Milkpol S</w:t>
      </w:r>
      <w:r w:rsidR="00C50A1D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A</w:t>
      </w:r>
      <w:r w:rsidR="00C50A1D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:</w:t>
      </w:r>
    </w:p>
    <w:p w14:paraId="34285D6C" w14:textId="77777777" w:rsidR="009E1015" w:rsidRPr="00435AC1" w:rsidRDefault="00F2583C" w:rsidP="00435AC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1B4CB3">
        <w:rPr>
          <w:rFonts w:ascii="Calibri" w:hAnsi="Calibri" w:cs="Calibri"/>
          <w:color w:val="000000"/>
          <w:sz w:val="22"/>
          <w:szCs w:val="22"/>
        </w:rPr>
        <w:t>lipcu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roku wystąpiły następujące tendencje i zdarzenia w otoczeniu rynkowym Spółki, które w ocenie Spółki mogą mieć w przyszłości ewentualne skutki dla kondycji finansowej oraz wyników finansowych Milkpol S</w:t>
      </w:r>
      <w:r w:rsidR="00CD60F2">
        <w:rPr>
          <w:rFonts w:ascii="Calibri" w:hAnsi="Calibri" w:cs="Calibri"/>
          <w:color w:val="000000"/>
          <w:sz w:val="22"/>
          <w:szCs w:val="22"/>
        </w:rPr>
        <w:t>.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A</w:t>
      </w:r>
      <w:r w:rsidR="00CD60F2">
        <w:rPr>
          <w:rFonts w:ascii="Calibri" w:hAnsi="Calibri" w:cs="Calibri"/>
          <w:color w:val="000000"/>
          <w:sz w:val="22"/>
          <w:szCs w:val="22"/>
        </w:rPr>
        <w:t>.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: (1)</w:t>
      </w:r>
      <w:r w:rsidR="003026C9" w:rsidRPr="0042524B">
        <w:rPr>
          <w:rFonts w:ascii="Calibri" w:hAnsi="Calibri" w:cs="Calibri"/>
          <w:sz w:val="22"/>
          <w:szCs w:val="22"/>
        </w:rPr>
        <w:t xml:space="preserve"> cena skupu surowca mleczarskiego, wykorzystywanego w produkcji r</w:t>
      </w:r>
      <w:r w:rsidR="00226239" w:rsidRPr="0042524B">
        <w:rPr>
          <w:rFonts w:ascii="Calibri" w:hAnsi="Calibri" w:cs="Calibri"/>
          <w:sz w:val="22"/>
          <w:szCs w:val="22"/>
        </w:rPr>
        <w:t>ealizowanej przez Milkpol S</w:t>
      </w:r>
      <w:r w:rsidR="00CD60F2" w:rsidRPr="0042524B">
        <w:rPr>
          <w:rFonts w:ascii="Calibri" w:hAnsi="Calibri" w:cs="Calibri"/>
          <w:sz w:val="22"/>
          <w:szCs w:val="22"/>
        </w:rPr>
        <w:t>.</w:t>
      </w:r>
      <w:r w:rsidR="00226239" w:rsidRPr="0042524B">
        <w:rPr>
          <w:rFonts w:ascii="Calibri" w:hAnsi="Calibri" w:cs="Calibri"/>
          <w:sz w:val="22"/>
          <w:szCs w:val="22"/>
        </w:rPr>
        <w:t>A</w:t>
      </w:r>
      <w:r w:rsidR="00CD60F2" w:rsidRPr="0042524B">
        <w:rPr>
          <w:rFonts w:ascii="Calibri" w:hAnsi="Calibri" w:cs="Calibri"/>
          <w:sz w:val="22"/>
          <w:szCs w:val="22"/>
        </w:rPr>
        <w:t>.</w:t>
      </w:r>
      <w:r w:rsidR="00226239" w:rsidRPr="0042524B">
        <w:rPr>
          <w:rFonts w:ascii="Calibri" w:hAnsi="Calibri" w:cs="Calibri"/>
          <w:sz w:val="22"/>
          <w:szCs w:val="22"/>
        </w:rPr>
        <w:t xml:space="preserve"> </w:t>
      </w:r>
      <w:r w:rsidRPr="0042524B">
        <w:rPr>
          <w:rFonts w:ascii="Calibri" w:hAnsi="Calibri" w:cs="Calibri"/>
          <w:sz w:val="22"/>
          <w:szCs w:val="22"/>
        </w:rPr>
        <w:t xml:space="preserve">w </w:t>
      </w:r>
      <w:r w:rsidR="001B4CB3" w:rsidRPr="0042524B">
        <w:rPr>
          <w:rFonts w:ascii="Calibri" w:hAnsi="Calibri" w:cs="Calibri"/>
          <w:sz w:val="22"/>
          <w:szCs w:val="22"/>
        </w:rPr>
        <w:t>lipcu</w:t>
      </w:r>
      <w:r w:rsidR="00D71781" w:rsidRPr="0042524B">
        <w:rPr>
          <w:rFonts w:ascii="Calibri" w:hAnsi="Calibri" w:cs="Calibri"/>
          <w:sz w:val="22"/>
          <w:szCs w:val="22"/>
        </w:rPr>
        <w:t xml:space="preserve"> </w:t>
      </w:r>
      <w:r w:rsidR="00830159" w:rsidRPr="0042524B">
        <w:rPr>
          <w:rFonts w:ascii="Calibri" w:hAnsi="Calibri" w:cs="Calibri"/>
          <w:sz w:val="22"/>
          <w:szCs w:val="22"/>
        </w:rPr>
        <w:t>202</w:t>
      </w:r>
      <w:r w:rsidR="004878F2" w:rsidRPr="0042524B">
        <w:rPr>
          <w:rFonts w:ascii="Calibri" w:hAnsi="Calibri" w:cs="Calibri"/>
          <w:sz w:val="22"/>
          <w:szCs w:val="22"/>
        </w:rPr>
        <w:t>4</w:t>
      </w:r>
      <w:r w:rsidR="00D71781" w:rsidRPr="0042524B">
        <w:rPr>
          <w:rFonts w:ascii="Calibri" w:hAnsi="Calibri" w:cs="Calibri"/>
          <w:sz w:val="22"/>
          <w:szCs w:val="22"/>
        </w:rPr>
        <w:t xml:space="preserve"> </w:t>
      </w:r>
      <w:r w:rsidR="003026C9" w:rsidRPr="0042524B">
        <w:rPr>
          <w:rFonts w:ascii="Calibri" w:hAnsi="Calibri" w:cs="Calibri"/>
          <w:sz w:val="22"/>
          <w:szCs w:val="22"/>
        </w:rPr>
        <w:t xml:space="preserve">roku </w:t>
      </w:r>
      <w:r w:rsidR="00C510F2" w:rsidRPr="00D32CFC">
        <w:rPr>
          <w:rFonts w:ascii="Calibri" w:hAnsi="Calibri" w:cs="Calibri"/>
          <w:sz w:val="22"/>
          <w:szCs w:val="22"/>
        </w:rPr>
        <w:t>spadła</w:t>
      </w:r>
      <w:r w:rsidR="00D71781" w:rsidRPr="00D32CFC">
        <w:rPr>
          <w:rFonts w:ascii="Calibri" w:hAnsi="Calibri" w:cs="Calibri"/>
          <w:sz w:val="22"/>
          <w:szCs w:val="22"/>
        </w:rPr>
        <w:t xml:space="preserve"> </w:t>
      </w:r>
      <w:r w:rsidR="00F42B12" w:rsidRPr="00D32CFC">
        <w:rPr>
          <w:rFonts w:ascii="Calibri" w:hAnsi="Calibri" w:cs="Calibri"/>
          <w:sz w:val="22"/>
          <w:szCs w:val="22"/>
        </w:rPr>
        <w:t xml:space="preserve">o </w:t>
      </w:r>
      <w:r w:rsidR="001B4CB3" w:rsidRPr="00D32CFC">
        <w:rPr>
          <w:rFonts w:ascii="Calibri" w:hAnsi="Calibri" w:cs="Calibri"/>
          <w:sz w:val="22"/>
          <w:szCs w:val="22"/>
        </w:rPr>
        <w:t>7,</w:t>
      </w:r>
      <w:r w:rsidR="0042524B" w:rsidRPr="00D32CFC">
        <w:rPr>
          <w:rFonts w:ascii="Calibri" w:hAnsi="Calibri" w:cs="Calibri"/>
          <w:sz w:val="22"/>
          <w:szCs w:val="22"/>
        </w:rPr>
        <w:t>8</w:t>
      </w:r>
      <w:r w:rsidR="004878F2" w:rsidRPr="00D32CFC">
        <w:rPr>
          <w:rFonts w:ascii="Calibri" w:hAnsi="Calibri" w:cs="Calibri"/>
          <w:sz w:val="22"/>
          <w:szCs w:val="22"/>
        </w:rPr>
        <w:t>%</w:t>
      </w:r>
      <w:r w:rsidR="00F42B12" w:rsidRPr="0042524B">
        <w:rPr>
          <w:rFonts w:ascii="Calibri" w:hAnsi="Calibri" w:cs="Calibri"/>
          <w:sz w:val="22"/>
          <w:szCs w:val="22"/>
        </w:rPr>
        <w:t xml:space="preserve"> w stosunku</w:t>
      </w:r>
      <w:r w:rsidR="00B55DE7" w:rsidRPr="0042524B">
        <w:rPr>
          <w:rFonts w:ascii="Calibri" w:hAnsi="Calibri" w:cs="Calibri"/>
          <w:sz w:val="22"/>
          <w:szCs w:val="22"/>
        </w:rPr>
        <w:t xml:space="preserve"> do analogicznego okresu ubiegłego </w:t>
      </w:r>
      <w:r w:rsidR="00F42B12" w:rsidRPr="0042524B">
        <w:rPr>
          <w:rFonts w:ascii="Calibri" w:hAnsi="Calibri" w:cs="Calibri"/>
          <w:sz w:val="22"/>
          <w:szCs w:val="22"/>
        </w:rPr>
        <w:t>ro</w:t>
      </w:r>
      <w:r w:rsidR="00B55DE7" w:rsidRPr="0042524B">
        <w:rPr>
          <w:rFonts w:ascii="Calibri" w:hAnsi="Calibri" w:cs="Calibri"/>
          <w:sz w:val="22"/>
          <w:szCs w:val="22"/>
        </w:rPr>
        <w:t>ku</w:t>
      </w:r>
      <w:r w:rsidR="00F42B12" w:rsidRPr="0042524B">
        <w:rPr>
          <w:rFonts w:ascii="Calibri" w:hAnsi="Calibri" w:cs="Calibri"/>
          <w:sz w:val="22"/>
          <w:szCs w:val="22"/>
        </w:rPr>
        <w:t xml:space="preserve">, </w:t>
      </w:r>
      <w:r w:rsidR="003026C9" w:rsidRPr="0042524B">
        <w:rPr>
          <w:rFonts w:ascii="Calibri" w:hAnsi="Calibri" w:cs="Calibri"/>
          <w:sz w:val="22"/>
          <w:szCs w:val="22"/>
        </w:rPr>
        <w:t xml:space="preserve">przy czym ilość skupowanego mleka surowego w stosunku do ilości skupionej w </w:t>
      </w:r>
      <w:r w:rsidR="00B55DE7" w:rsidRPr="0042524B">
        <w:rPr>
          <w:rFonts w:ascii="Calibri" w:hAnsi="Calibri" w:cs="Calibri"/>
          <w:sz w:val="22"/>
          <w:szCs w:val="22"/>
        </w:rPr>
        <w:t>porównywalnym</w:t>
      </w:r>
      <w:r w:rsidR="00A90AFF" w:rsidRPr="0042524B">
        <w:rPr>
          <w:rFonts w:ascii="Calibri" w:hAnsi="Calibri" w:cs="Calibri"/>
          <w:sz w:val="22"/>
          <w:szCs w:val="22"/>
        </w:rPr>
        <w:t xml:space="preserve"> okresie roku 202</w:t>
      </w:r>
      <w:r w:rsidR="004878F2" w:rsidRPr="0042524B">
        <w:rPr>
          <w:rFonts w:ascii="Calibri" w:hAnsi="Calibri" w:cs="Calibri"/>
          <w:sz w:val="22"/>
          <w:szCs w:val="22"/>
        </w:rPr>
        <w:t xml:space="preserve">3 </w:t>
      </w:r>
      <w:r w:rsidR="00F06C62" w:rsidRPr="0042524B">
        <w:rPr>
          <w:rFonts w:ascii="Calibri" w:hAnsi="Calibri" w:cs="Calibri"/>
          <w:sz w:val="22"/>
          <w:szCs w:val="22"/>
        </w:rPr>
        <w:t>spadła</w:t>
      </w:r>
      <w:r w:rsidR="00D71781" w:rsidRPr="0042524B">
        <w:rPr>
          <w:rFonts w:ascii="Calibri" w:hAnsi="Calibri" w:cs="Calibri"/>
          <w:sz w:val="22"/>
          <w:szCs w:val="22"/>
        </w:rPr>
        <w:t xml:space="preserve"> o </w:t>
      </w:r>
      <w:r w:rsidR="001B4CB3" w:rsidRPr="0042524B">
        <w:rPr>
          <w:rFonts w:ascii="Calibri" w:hAnsi="Calibri" w:cs="Calibri"/>
          <w:sz w:val="22"/>
          <w:szCs w:val="22"/>
        </w:rPr>
        <w:t>38</w:t>
      </w:r>
      <w:r w:rsidR="008C43ED" w:rsidRPr="0042524B">
        <w:rPr>
          <w:rFonts w:ascii="Calibri" w:hAnsi="Calibri" w:cs="Calibri"/>
          <w:sz w:val="22"/>
          <w:szCs w:val="22"/>
        </w:rPr>
        <w:t>,3</w:t>
      </w:r>
      <w:r w:rsidR="00D71781" w:rsidRPr="0042524B">
        <w:rPr>
          <w:rFonts w:ascii="Calibri" w:hAnsi="Calibri" w:cs="Calibri"/>
          <w:sz w:val="22"/>
          <w:szCs w:val="22"/>
        </w:rPr>
        <w:t>%</w:t>
      </w:r>
      <w:r w:rsidR="003026C9" w:rsidRPr="0042524B">
        <w:rPr>
          <w:rFonts w:ascii="Calibri" w:hAnsi="Calibri" w:cs="Calibri"/>
          <w:sz w:val="22"/>
          <w:szCs w:val="22"/>
        </w:rPr>
        <w:t xml:space="preserve"> (2) wartość p</w:t>
      </w:r>
      <w:r w:rsidR="00226239" w:rsidRPr="0042524B">
        <w:rPr>
          <w:rFonts w:ascii="Calibri" w:hAnsi="Calibri" w:cs="Calibri"/>
          <w:sz w:val="22"/>
          <w:szCs w:val="22"/>
        </w:rPr>
        <w:t xml:space="preserve">rzychodów Spółki ze sprzedaży </w:t>
      </w:r>
      <w:r w:rsidR="00C07D1E" w:rsidRPr="0042524B">
        <w:rPr>
          <w:rFonts w:ascii="Calibri" w:hAnsi="Calibri" w:cs="Calibri"/>
          <w:sz w:val="22"/>
          <w:szCs w:val="22"/>
        </w:rPr>
        <w:t>w</w:t>
      </w:r>
      <w:r w:rsidR="00D71781" w:rsidRPr="0042524B">
        <w:rPr>
          <w:rFonts w:ascii="Calibri" w:hAnsi="Calibri" w:cs="Calibri"/>
          <w:sz w:val="22"/>
          <w:szCs w:val="22"/>
        </w:rPr>
        <w:t xml:space="preserve"> </w:t>
      </w:r>
      <w:r w:rsidR="00A50F16">
        <w:rPr>
          <w:rFonts w:ascii="Calibri" w:hAnsi="Calibri" w:cs="Calibri"/>
          <w:sz w:val="22"/>
          <w:szCs w:val="22"/>
        </w:rPr>
        <w:t>lipcu</w:t>
      </w:r>
      <w:r w:rsidR="00D71781" w:rsidRPr="0042524B">
        <w:rPr>
          <w:rFonts w:ascii="Calibri" w:hAnsi="Calibri" w:cs="Calibri"/>
          <w:sz w:val="22"/>
          <w:szCs w:val="22"/>
        </w:rPr>
        <w:t xml:space="preserve"> </w:t>
      </w:r>
      <w:r w:rsidR="009E1015" w:rsidRPr="0042524B">
        <w:rPr>
          <w:rFonts w:ascii="Calibri" w:hAnsi="Calibri" w:cs="Calibri"/>
          <w:sz w:val="22"/>
          <w:szCs w:val="22"/>
        </w:rPr>
        <w:t>202</w:t>
      </w:r>
      <w:r w:rsidR="004878F2" w:rsidRPr="0042524B">
        <w:rPr>
          <w:rFonts w:ascii="Calibri" w:hAnsi="Calibri" w:cs="Calibri"/>
          <w:sz w:val="22"/>
          <w:szCs w:val="22"/>
        </w:rPr>
        <w:t xml:space="preserve">4 </w:t>
      </w:r>
      <w:r w:rsidR="003026C9" w:rsidRPr="0042524B">
        <w:rPr>
          <w:rFonts w:ascii="Calibri" w:hAnsi="Calibri" w:cs="Calibri"/>
          <w:sz w:val="22"/>
          <w:szCs w:val="22"/>
        </w:rPr>
        <w:t>roku, w porównaniu do okresu analogicznego dla roku 20</w:t>
      </w:r>
      <w:r w:rsidR="00A90AFF" w:rsidRPr="0042524B">
        <w:rPr>
          <w:rFonts w:ascii="Calibri" w:hAnsi="Calibri" w:cs="Calibri"/>
          <w:sz w:val="22"/>
          <w:szCs w:val="22"/>
        </w:rPr>
        <w:t>2</w:t>
      </w:r>
      <w:r w:rsidR="004878F2" w:rsidRPr="0042524B">
        <w:rPr>
          <w:rFonts w:ascii="Calibri" w:hAnsi="Calibri" w:cs="Calibri"/>
          <w:sz w:val="22"/>
          <w:szCs w:val="22"/>
        </w:rPr>
        <w:t>3</w:t>
      </w:r>
      <w:r w:rsidR="003026C9" w:rsidRPr="0042524B">
        <w:rPr>
          <w:rFonts w:ascii="Calibri" w:hAnsi="Calibri" w:cs="Calibri"/>
          <w:sz w:val="22"/>
          <w:szCs w:val="22"/>
        </w:rPr>
        <w:t xml:space="preserve">, </w:t>
      </w:r>
      <w:r w:rsidRPr="0042524B">
        <w:rPr>
          <w:rFonts w:ascii="Calibri" w:hAnsi="Calibri" w:cs="Calibri"/>
          <w:sz w:val="22"/>
          <w:szCs w:val="22"/>
        </w:rPr>
        <w:t>wzrosła</w:t>
      </w:r>
      <w:r w:rsidR="004878F2" w:rsidRPr="0042524B">
        <w:rPr>
          <w:rFonts w:ascii="Calibri" w:hAnsi="Calibri" w:cs="Calibri"/>
          <w:sz w:val="22"/>
          <w:szCs w:val="22"/>
        </w:rPr>
        <w:t xml:space="preserve"> o</w:t>
      </w:r>
      <w:r w:rsidR="00D71781" w:rsidRPr="0042524B">
        <w:rPr>
          <w:rFonts w:ascii="Calibri" w:hAnsi="Calibri" w:cs="Calibri"/>
          <w:sz w:val="22"/>
          <w:szCs w:val="22"/>
        </w:rPr>
        <w:t xml:space="preserve"> </w:t>
      </w:r>
      <w:r w:rsidR="001B4CB3" w:rsidRPr="0042524B">
        <w:rPr>
          <w:rFonts w:ascii="Calibri" w:hAnsi="Calibri" w:cs="Calibri"/>
          <w:sz w:val="22"/>
          <w:szCs w:val="22"/>
        </w:rPr>
        <w:t>0,5</w:t>
      </w:r>
      <w:r w:rsidR="001D0F0E" w:rsidRPr="0042524B">
        <w:rPr>
          <w:rFonts w:ascii="Calibri" w:hAnsi="Calibri" w:cs="Calibri"/>
          <w:sz w:val="22"/>
          <w:szCs w:val="22"/>
        </w:rPr>
        <w:t>%.</w:t>
      </w:r>
    </w:p>
    <w:p w14:paraId="0B94CABC" w14:textId="77777777" w:rsidR="00E20BB6" w:rsidRPr="00DB369D" w:rsidRDefault="00E20BB6" w:rsidP="00435AC1">
      <w:pPr>
        <w:rPr>
          <w:rFonts w:ascii="Calibri" w:hAnsi="Calibri" w:cs="Calibri"/>
          <w:color w:val="000000"/>
          <w:sz w:val="22"/>
          <w:szCs w:val="22"/>
        </w:rPr>
      </w:pPr>
      <w:r w:rsidRPr="00435AC1">
        <w:rPr>
          <w:rFonts w:ascii="Calibri" w:hAnsi="Calibri" w:cs="Calibri"/>
          <w:color w:val="000000"/>
          <w:sz w:val="22"/>
          <w:szCs w:val="22"/>
        </w:rPr>
        <w:t>Powyższe może mieć wpływ na postrzeganie Spółki na rynku, a także ewentualnie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w sposób pośredni na uzyskiwane przez nią wyniki finansowe.</w:t>
      </w:r>
    </w:p>
    <w:p w14:paraId="6632413F" w14:textId="77777777" w:rsidR="00201CE4" w:rsidRDefault="00E20BB6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Poza wyżej wymienionymi, w okresie sprawozdawczym nie wystąpiły inne zdarzenia i tendencje w otoczeniu rynkowym Spółki, które w jej ocenie mogłyby mieć wpływ na kondycję finansową oraz wyniki finansowe Spółki.</w:t>
      </w:r>
    </w:p>
    <w:p w14:paraId="30FDFB82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II. Zestawienie istotnych wydarzeń korporacyjnych dotyczących Spółki, mających miejsce w miesiącu sprawozdawczym:</w:t>
      </w:r>
    </w:p>
    <w:p w14:paraId="1AA67A1A" w14:textId="77777777" w:rsidR="00653F45" w:rsidRPr="00653F45" w:rsidRDefault="007D0A98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C661C">
        <w:rPr>
          <w:rFonts w:ascii="Calibri" w:hAnsi="Calibri" w:cs="Calibri"/>
          <w:color w:val="000000"/>
          <w:sz w:val="22"/>
          <w:szCs w:val="22"/>
        </w:rPr>
        <w:t>lipcu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53F45" w:rsidRPr="00653F45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 r</w:t>
      </w:r>
      <w:r w:rsidR="00653F45" w:rsidRPr="00653F45">
        <w:rPr>
          <w:rFonts w:ascii="Calibri" w:hAnsi="Calibri" w:cs="Calibri"/>
          <w:color w:val="000000"/>
          <w:sz w:val="22"/>
          <w:szCs w:val="22"/>
        </w:rPr>
        <w:t>oku nie wystąpiły istotne wydarzenia korporacyjne dotyczące Spółki.</w:t>
      </w:r>
    </w:p>
    <w:p w14:paraId="7FA7030B" w14:textId="77777777" w:rsidR="003026C9" w:rsidRPr="00DB369D" w:rsidRDefault="003026C9" w:rsidP="00E02E3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53F45">
        <w:rPr>
          <w:rFonts w:ascii="Calibri" w:hAnsi="Calibri" w:cs="Calibri"/>
          <w:b/>
          <w:color w:val="000000"/>
          <w:sz w:val="22"/>
          <w:szCs w:val="22"/>
          <w:u w:val="single"/>
        </w:rPr>
        <w:t>III. Zestawienie wszystkich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informacji opublikowanych przez Spółkę w trybie raportu bieżącego w okresie objętym raportem</w:t>
      </w:r>
      <w:r w:rsidRPr="00DB369D">
        <w:rPr>
          <w:rFonts w:ascii="Calibri" w:hAnsi="Calibri" w:cs="Calibri"/>
          <w:color w:val="000000"/>
          <w:sz w:val="22"/>
          <w:szCs w:val="22"/>
        </w:rPr>
        <w:t>:</w:t>
      </w:r>
    </w:p>
    <w:p w14:paraId="452CC7C3" w14:textId="77777777" w:rsidR="00F55DB2" w:rsidRPr="00653F45" w:rsidRDefault="002023A7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53F45">
        <w:rPr>
          <w:rFonts w:ascii="Calibri" w:hAnsi="Calibri" w:cs="Calibri"/>
          <w:color w:val="000000"/>
          <w:sz w:val="22"/>
          <w:szCs w:val="22"/>
        </w:rPr>
        <w:t>W okresi</w:t>
      </w:r>
      <w:r w:rsidR="00B55DE7" w:rsidRPr="00653F45">
        <w:rPr>
          <w:rFonts w:ascii="Calibri" w:hAnsi="Calibri" w:cs="Calibri"/>
          <w:color w:val="000000"/>
          <w:sz w:val="22"/>
          <w:szCs w:val="22"/>
        </w:rPr>
        <w:t xml:space="preserve">e sprawozdawczym (tj. </w:t>
      </w:r>
      <w:r w:rsidR="00F2583C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4C661C">
        <w:rPr>
          <w:rFonts w:ascii="Calibri" w:hAnsi="Calibri" w:cs="Calibri"/>
          <w:color w:val="000000"/>
          <w:sz w:val="22"/>
          <w:szCs w:val="22"/>
        </w:rPr>
        <w:t>lipcu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653F45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 r</w:t>
      </w:r>
      <w:r w:rsidR="00CE42CB" w:rsidRPr="00653F45">
        <w:rPr>
          <w:rFonts w:ascii="Calibri" w:hAnsi="Calibri" w:cs="Calibri"/>
          <w:color w:val="000000"/>
          <w:sz w:val="22"/>
          <w:szCs w:val="22"/>
        </w:rPr>
        <w:t>oku) Spółka opublikowała za pośrednictwem systemu EBI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E2D85">
        <w:rPr>
          <w:rFonts w:ascii="Calibri" w:hAnsi="Calibri" w:cs="Calibri"/>
          <w:color w:val="000000"/>
          <w:sz w:val="22"/>
          <w:szCs w:val="22"/>
        </w:rPr>
        <w:t>3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5DB2" w:rsidRPr="00653F45">
        <w:rPr>
          <w:rFonts w:ascii="Calibri" w:hAnsi="Calibri" w:cs="Calibri"/>
          <w:color w:val="000000"/>
          <w:sz w:val="22"/>
          <w:szCs w:val="22"/>
        </w:rPr>
        <w:t>(</w:t>
      </w:r>
      <w:r w:rsidR="007E0739">
        <w:rPr>
          <w:rFonts w:ascii="Calibri" w:hAnsi="Calibri" w:cs="Calibri"/>
          <w:color w:val="000000"/>
          <w:sz w:val="22"/>
          <w:szCs w:val="22"/>
        </w:rPr>
        <w:t>trzy</w:t>
      </w:r>
      <w:r w:rsidR="006143D9" w:rsidRPr="00653F45">
        <w:rPr>
          <w:rFonts w:ascii="Calibri" w:hAnsi="Calibri" w:cs="Calibri"/>
          <w:color w:val="000000"/>
          <w:sz w:val="22"/>
          <w:szCs w:val="22"/>
        </w:rPr>
        <w:t>) raport</w:t>
      </w:r>
      <w:r w:rsidR="008B6FB3">
        <w:rPr>
          <w:rFonts w:ascii="Calibri" w:hAnsi="Calibri" w:cs="Calibri"/>
          <w:color w:val="000000"/>
          <w:sz w:val="22"/>
          <w:szCs w:val="22"/>
        </w:rPr>
        <w:t>y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A7294" w:rsidRPr="00653F45">
        <w:rPr>
          <w:rFonts w:ascii="Calibri" w:hAnsi="Calibri" w:cs="Calibri"/>
          <w:color w:val="000000"/>
          <w:sz w:val="22"/>
          <w:szCs w:val="22"/>
        </w:rPr>
        <w:t>EBI, tj.:</w:t>
      </w:r>
    </w:p>
    <w:p w14:paraId="61F86CF6" w14:textId="77777777" w:rsidR="007E0739" w:rsidRDefault="00AA7F95" w:rsidP="00AA7F95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A7F95">
        <w:rPr>
          <w:rFonts w:ascii="Calibri" w:hAnsi="Calibri" w:cs="Calibri"/>
          <w:color w:val="000000"/>
          <w:sz w:val="22"/>
          <w:szCs w:val="22"/>
        </w:rPr>
        <w:t xml:space="preserve">(-) raport bieżący EBI Nr </w:t>
      </w:r>
      <w:r w:rsidR="007E0739">
        <w:rPr>
          <w:rFonts w:ascii="Calibri" w:hAnsi="Calibri" w:cs="Calibri"/>
          <w:color w:val="000000"/>
          <w:sz w:val="22"/>
          <w:szCs w:val="22"/>
        </w:rPr>
        <w:t xml:space="preserve">15/2024 z dnia 2 lipca 2024 roku </w:t>
      </w:r>
      <w:r w:rsidR="00136525">
        <w:rPr>
          <w:rFonts w:ascii="Calibri" w:hAnsi="Calibri" w:cs="Calibri"/>
          <w:color w:val="000000"/>
          <w:sz w:val="22"/>
          <w:szCs w:val="22"/>
        </w:rPr>
        <w:t>–</w:t>
      </w:r>
      <w:r w:rsidR="007E0739">
        <w:rPr>
          <w:rFonts w:ascii="Calibri" w:hAnsi="Calibri" w:cs="Calibri"/>
          <w:color w:val="000000"/>
          <w:sz w:val="22"/>
          <w:szCs w:val="22"/>
        </w:rPr>
        <w:t xml:space="preserve"> Powołanie</w:t>
      </w:r>
      <w:r w:rsidR="0013652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E0739">
        <w:rPr>
          <w:rFonts w:ascii="Calibri" w:hAnsi="Calibri" w:cs="Calibri"/>
          <w:color w:val="000000"/>
          <w:sz w:val="22"/>
          <w:szCs w:val="22"/>
        </w:rPr>
        <w:t>w skład Zarządu Milkpol S.A. członków na nową kadencję;</w:t>
      </w:r>
    </w:p>
    <w:p w14:paraId="12791381" w14:textId="77777777" w:rsidR="00AA7F95" w:rsidRPr="00AA7F95" w:rsidRDefault="007E0739" w:rsidP="00AA7F95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(-) 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raport bieżący EBI Nr </w:t>
      </w:r>
      <w:r w:rsidR="004C661C">
        <w:rPr>
          <w:rFonts w:ascii="Calibri" w:hAnsi="Calibri" w:cs="Calibri"/>
          <w:color w:val="000000"/>
          <w:sz w:val="22"/>
          <w:szCs w:val="22"/>
        </w:rPr>
        <w:t>16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>/202</w:t>
      </w:r>
      <w:r w:rsidR="00AA7F95">
        <w:rPr>
          <w:rFonts w:ascii="Calibri" w:hAnsi="Calibri" w:cs="Calibri"/>
          <w:color w:val="000000"/>
          <w:sz w:val="22"/>
          <w:szCs w:val="22"/>
        </w:rPr>
        <w:t>4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 xml:space="preserve"> z dnia 1</w:t>
      </w:r>
      <w:r>
        <w:rPr>
          <w:rFonts w:ascii="Calibri" w:hAnsi="Calibri" w:cs="Calibri"/>
          <w:color w:val="000000"/>
          <w:sz w:val="22"/>
          <w:szCs w:val="22"/>
        </w:rPr>
        <w:t>2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C661C">
        <w:rPr>
          <w:rFonts w:ascii="Calibri" w:hAnsi="Calibri" w:cs="Calibri"/>
          <w:color w:val="000000"/>
          <w:sz w:val="22"/>
          <w:szCs w:val="22"/>
        </w:rPr>
        <w:t>lipca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 xml:space="preserve"> 202</w:t>
      </w:r>
      <w:r w:rsidR="00AA7F95">
        <w:rPr>
          <w:rFonts w:ascii="Calibri" w:hAnsi="Calibri" w:cs="Calibri"/>
          <w:color w:val="000000"/>
          <w:sz w:val="22"/>
          <w:szCs w:val="22"/>
        </w:rPr>
        <w:t>4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 xml:space="preserve"> roku – </w:t>
      </w:r>
      <w:hyperlink r:id="rId8" w:tooltip="MILKPOL: Raport miesięczny Milkpol SA za m-c sierpień 2021 roku" w:history="1"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 xml:space="preserve">Raport miesięczny Milkpol S.A. za </w:t>
        </w:r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br/>
          <w:t xml:space="preserve">m-c </w:t>
        </w:r>
        <w:r w:rsidR="004C661C">
          <w:rPr>
            <w:rFonts w:ascii="Calibri" w:hAnsi="Calibri" w:cs="Calibri"/>
            <w:color w:val="000000"/>
            <w:sz w:val="22"/>
            <w:szCs w:val="22"/>
          </w:rPr>
          <w:t>czerwiec</w:t>
        </w:r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 xml:space="preserve"> 202</w:t>
        </w:r>
        <w:r w:rsidR="004C661C">
          <w:rPr>
            <w:rFonts w:ascii="Calibri" w:hAnsi="Calibri" w:cs="Calibri"/>
            <w:color w:val="000000"/>
            <w:sz w:val="22"/>
            <w:szCs w:val="22"/>
          </w:rPr>
          <w:t>4</w:t>
        </w:r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 xml:space="preserve"> roku</w:t>
        </w:r>
      </w:hyperlink>
      <w:r w:rsidR="00AA7F95" w:rsidRPr="00AA7F95">
        <w:rPr>
          <w:rFonts w:ascii="Calibri" w:hAnsi="Calibri" w:cs="Calibri"/>
          <w:color w:val="000000"/>
          <w:sz w:val="22"/>
          <w:szCs w:val="22"/>
        </w:rPr>
        <w:t>;</w:t>
      </w:r>
    </w:p>
    <w:p w14:paraId="49EDF230" w14:textId="77777777" w:rsidR="004C661C" w:rsidRDefault="00AA7F95" w:rsidP="004C661C">
      <w:pPr>
        <w:jc w:val="both"/>
      </w:pPr>
      <w:r w:rsidRPr="00AA7F95">
        <w:rPr>
          <w:rFonts w:ascii="Calibri" w:hAnsi="Calibri" w:cs="Calibri"/>
          <w:color w:val="000000"/>
          <w:sz w:val="22"/>
          <w:szCs w:val="22"/>
        </w:rPr>
        <w:t>(-) raport bieżący EBI Nr 1</w:t>
      </w:r>
      <w:r w:rsidR="004C661C">
        <w:rPr>
          <w:rFonts w:ascii="Calibri" w:hAnsi="Calibri" w:cs="Calibri"/>
          <w:color w:val="000000"/>
          <w:sz w:val="22"/>
          <w:szCs w:val="22"/>
        </w:rPr>
        <w:t>7</w:t>
      </w:r>
      <w:r w:rsidRPr="00AA7F95">
        <w:rPr>
          <w:rFonts w:ascii="Calibri" w:hAnsi="Calibri" w:cs="Calibri"/>
          <w:color w:val="000000"/>
          <w:sz w:val="22"/>
          <w:szCs w:val="22"/>
        </w:rPr>
        <w:t>/202</w:t>
      </w:r>
      <w:r>
        <w:rPr>
          <w:rFonts w:ascii="Calibri" w:hAnsi="Calibri" w:cs="Calibri"/>
          <w:color w:val="000000"/>
          <w:sz w:val="22"/>
          <w:szCs w:val="22"/>
        </w:rPr>
        <w:t>4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 z dnia 1</w:t>
      </w:r>
      <w:r w:rsidR="007E0739">
        <w:rPr>
          <w:rFonts w:ascii="Calibri" w:hAnsi="Calibri" w:cs="Calibri"/>
          <w:color w:val="000000"/>
          <w:sz w:val="22"/>
          <w:szCs w:val="22"/>
        </w:rPr>
        <w:t>7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C661C">
        <w:rPr>
          <w:rFonts w:ascii="Calibri" w:hAnsi="Calibri" w:cs="Calibri"/>
          <w:color w:val="000000"/>
          <w:sz w:val="22"/>
          <w:szCs w:val="22"/>
        </w:rPr>
        <w:t>lipca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 202</w:t>
      </w:r>
      <w:r w:rsidR="00B303EE">
        <w:rPr>
          <w:rFonts w:ascii="Calibri" w:hAnsi="Calibri" w:cs="Calibri"/>
          <w:color w:val="000000"/>
          <w:sz w:val="22"/>
          <w:szCs w:val="22"/>
        </w:rPr>
        <w:t>4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 roku – </w:t>
      </w:r>
      <w:r w:rsidR="004C661C">
        <w:rPr>
          <w:rFonts w:ascii="Calibri" w:hAnsi="Calibri" w:cs="Calibri"/>
          <w:color w:val="000000"/>
          <w:sz w:val="22"/>
          <w:szCs w:val="22"/>
        </w:rPr>
        <w:t xml:space="preserve">Korekta </w:t>
      </w:r>
      <w:hyperlink r:id="rId9" w:tooltip="MILKPOL: Raport miesięczny Milkpol SA za m-c sierpień 2021 roku" w:history="1">
        <w:r w:rsidR="004C661C">
          <w:rPr>
            <w:rFonts w:ascii="Calibri" w:hAnsi="Calibri" w:cs="Calibri"/>
            <w:color w:val="000000"/>
            <w:sz w:val="22"/>
            <w:szCs w:val="22"/>
          </w:rPr>
          <w:t>r</w:t>
        </w:r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>aport</w:t>
        </w:r>
        <w:r w:rsidR="004C661C">
          <w:rPr>
            <w:rFonts w:ascii="Calibri" w:hAnsi="Calibri" w:cs="Calibri"/>
            <w:color w:val="000000"/>
            <w:sz w:val="22"/>
            <w:szCs w:val="22"/>
          </w:rPr>
          <w:t>u</w:t>
        </w:r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 xml:space="preserve"> </w:t>
        </w:r>
        <w:r w:rsidR="007E0739">
          <w:rPr>
            <w:rFonts w:ascii="Calibri" w:hAnsi="Calibri" w:cs="Calibri"/>
            <w:color w:val="000000"/>
            <w:sz w:val="22"/>
            <w:szCs w:val="22"/>
          </w:rPr>
          <w:t>okresowego za I kwartał 2024 roku</w:t>
        </w:r>
      </w:hyperlink>
      <w:r w:rsidR="004C661C">
        <w:t>.</w:t>
      </w:r>
    </w:p>
    <w:p w14:paraId="4870E95D" w14:textId="77777777" w:rsidR="007A3550" w:rsidRDefault="00F66F2F" w:rsidP="004C661C">
      <w:pPr>
        <w:jc w:val="both"/>
        <w:rPr>
          <w:rFonts w:ascii="Calibri" w:hAnsi="Calibri" w:cs="Calibri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 xml:space="preserve">W okresie sprawozdawczym (tj. </w:t>
      </w:r>
      <w:r w:rsidR="001644E5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7E0739">
        <w:rPr>
          <w:rFonts w:ascii="Calibri" w:hAnsi="Calibri" w:cs="Calibri"/>
          <w:color w:val="000000"/>
          <w:sz w:val="22"/>
          <w:szCs w:val="22"/>
        </w:rPr>
        <w:t>lipcu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202</w:t>
      </w:r>
      <w:r w:rsidR="006240C9">
        <w:rPr>
          <w:rFonts w:ascii="Calibri" w:hAnsi="Calibri" w:cs="Calibri"/>
          <w:color w:val="000000"/>
          <w:sz w:val="22"/>
          <w:szCs w:val="22"/>
        </w:rPr>
        <w:t>4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roku) Spółka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36525">
        <w:rPr>
          <w:rFonts w:ascii="Calibri" w:hAnsi="Calibri" w:cs="Calibri"/>
          <w:color w:val="000000"/>
          <w:sz w:val="22"/>
          <w:szCs w:val="22"/>
        </w:rPr>
        <w:t>o</w:t>
      </w:r>
      <w:r w:rsidR="007D0A98">
        <w:rPr>
          <w:rFonts w:ascii="Calibri" w:hAnsi="Calibri" w:cs="Calibri"/>
          <w:color w:val="000000"/>
          <w:sz w:val="22"/>
          <w:szCs w:val="22"/>
        </w:rPr>
        <w:t>publikowała</w:t>
      </w:r>
      <w:r w:rsidR="00F2583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07D1E" w:rsidRPr="00DB369D">
        <w:rPr>
          <w:rFonts w:ascii="Calibri" w:hAnsi="Calibri" w:cs="Calibri"/>
          <w:color w:val="000000"/>
          <w:sz w:val="22"/>
          <w:szCs w:val="22"/>
        </w:rPr>
        <w:t xml:space="preserve">za pośrednictwem systemu </w:t>
      </w:r>
      <w:r w:rsidR="00C07D1E" w:rsidRPr="00DB369D">
        <w:rPr>
          <w:rFonts w:ascii="Calibri" w:hAnsi="Calibri" w:cs="Calibri"/>
          <w:sz w:val="22"/>
          <w:szCs w:val="22"/>
        </w:rPr>
        <w:t>ESPI</w:t>
      </w:r>
      <w:r w:rsidR="000E2D85">
        <w:rPr>
          <w:rFonts w:ascii="Calibri" w:hAnsi="Calibri" w:cs="Calibri"/>
          <w:sz w:val="22"/>
          <w:szCs w:val="22"/>
        </w:rPr>
        <w:t xml:space="preserve"> </w:t>
      </w:r>
      <w:r w:rsidR="000E2D85">
        <w:rPr>
          <w:rFonts w:ascii="Calibri" w:hAnsi="Calibri" w:cs="Calibri"/>
          <w:color w:val="000000"/>
          <w:sz w:val="22"/>
          <w:szCs w:val="22"/>
        </w:rPr>
        <w:t>1 (jeden) raport ESPI</w:t>
      </w:r>
      <w:r w:rsidR="00136525">
        <w:rPr>
          <w:rFonts w:ascii="Calibri" w:hAnsi="Calibri" w:cs="Calibri"/>
          <w:sz w:val="22"/>
          <w:szCs w:val="22"/>
        </w:rPr>
        <w:t>, tj.:</w:t>
      </w:r>
    </w:p>
    <w:p w14:paraId="2EB56B07" w14:textId="77777777" w:rsidR="00136525" w:rsidRPr="007A3550" w:rsidRDefault="00136525" w:rsidP="004C661C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(-) raport bieżący ESPI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 Nr </w:t>
      </w:r>
      <w:r>
        <w:rPr>
          <w:rFonts w:ascii="Calibri" w:hAnsi="Calibri" w:cs="Calibri"/>
          <w:color w:val="000000"/>
          <w:sz w:val="22"/>
          <w:szCs w:val="22"/>
        </w:rPr>
        <w:t>2</w:t>
      </w:r>
      <w:r w:rsidRPr="00AA7F95">
        <w:rPr>
          <w:rFonts w:ascii="Calibri" w:hAnsi="Calibri" w:cs="Calibri"/>
          <w:color w:val="000000"/>
          <w:sz w:val="22"/>
          <w:szCs w:val="22"/>
        </w:rPr>
        <w:t>/202</w:t>
      </w:r>
      <w:r>
        <w:rPr>
          <w:rFonts w:ascii="Calibri" w:hAnsi="Calibri" w:cs="Calibri"/>
          <w:color w:val="000000"/>
          <w:sz w:val="22"/>
          <w:szCs w:val="22"/>
        </w:rPr>
        <w:t>4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 z dnia </w:t>
      </w:r>
      <w:r>
        <w:rPr>
          <w:rFonts w:ascii="Calibri" w:hAnsi="Calibri" w:cs="Calibri"/>
          <w:color w:val="000000"/>
          <w:sz w:val="22"/>
          <w:szCs w:val="22"/>
        </w:rPr>
        <w:t>2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lipca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 202</w:t>
      </w:r>
      <w:r>
        <w:rPr>
          <w:rFonts w:ascii="Calibri" w:hAnsi="Calibri" w:cs="Calibri"/>
          <w:color w:val="000000"/>
          <w:sz w:val="22"/>
          <w:szCs w:val="22"/>
        </w:rPr>
        <w:t>4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 roku – </w:t>
      </w:r>
      <w:r w:rsidRPr="00136525">
        <w:rPr>
          <w:rFonts w:ascii="Calibri" w:hAnsi="Calibri" w:cs="Calibri"/>
          <w:color w:val="000000"/>
          <w:sz w:val="22"/>
          <w:szCs w:val="22"/>
        </w:rPr>
        <w:t>Wykaz akcjonariuszy posiadających co najmniej 5% głosów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00D7C802" w14:textId="77777777" w:rsidR="003026C9" w:rsidRPr="00DB369D" w:rsidRDefault="003026C9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Raporty bieżące Spółki publikowane są na bieżąco na stronie internetowej Spółki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B369D">
        <w:rPr>
          <w:rFonts w:ascii="Calibri" w:hAnsi="Calibri" w:cs="Calibri"/>
          <w:color w:val="000000"/>
          <w:sz w:val="22"/>
          <w:szCs w:val="22"/>
        </w:rPr>
        <w:t>(http://www.milkpol.com.pl), a także m.in. na następujących stronach internetowych: http://www.newconnect.pl oraz http://www.infostrefa.com.</w:t>
      </w:r>
    </w:p>
    <w:p w14:paraId="7120ADBF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IV. Informacje na temat realizacji celów emisji, jeżeli taka realizacja, choćby w części, miała miejsce w okresie objętym niniejszym raportem:</w:t>
      </w:r>
    </w:p>
    <w:p w14:paraId="0DB65AFF" w14:textId="77777777" w:rsidR="007A3550" w:rsidRPr="007A3550" w:rsidRDefault="00F2583C" w:rsidP="00F670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W </w:t>
      </w:r>
      <w:r w:rsidR="007E0739">
        <w:rPr>
          <w:rFonts w:ascii="Calibri" w:hAnsi="Calibri" w:cs="Calibri"/>
          <w:sz w:val="22"/>
          <w:szCs w:val="22"/>
        </w:rPr>
        <w:t>lipcu</w:t>
      </w:r>
      <w:r w:rsidR="00D71781">
        <w:rPr>
          <w:rFonts w:ascii="Calibri" w:hAnsi="Calibri" w:cs="Calibri"/>
          <w:sz w:val="22"/>
          <w:szCs w:val="22"/>
        </w:rPr>
        <w:t xml:space="preserve"> </w:t>
      </w:r>
      <w:r w:rsidR="00E70A78" w:rsidRPr="007A3550">
        <w:rPr>
          <w:rFonts w:ascii="Calibri" w:hAnsi="Calibri" w:cs="Calibri"/>
          <w:sz w:val="22"/>
          <w:szCs w:val="22"/>
        </w:rPr>
        <w:t>2</w:t>
      </w:r>
      <w:r w:rsidR="009E1015" w:rsidRPr="007A3550">
        <w:rPr>
          <w:rFonts w:ascii="Calibri" w:hAnsi="Calibri" w:cs="Calibri"/>
          <w:sz w:val="22"/>
          <w:szCs w:val="22"/>
        </w:rPr>
        <w:t>02</w:t>
      </w:r>
      <w:r w:rsidR="006240C9">
        <w:rPr>
          <w:rFonts w:ascii="Calibri" w:hAnsi="Calibri" w:cs="Calibri"/>
          <w:sz w:val="22"/>
          <w:szCs w:val="22"/>
        </w:rPr>
        <w:t xml:space="preserve">4 roku </w:t>
      </w:r>
      <w:r w:rsidR="003026C9" w:rsidRPr="007A3550">
        <w:rPr>
          <w:rFonts w:ascii="Calibri" w:hAnsi="Calibri" w:cs="Calibri"/>
          <w:sz w:val="22"/>
          <w:szCs w:val="22"/>
        </w:rPr>
        <w:t>nie były realizowane plany wykorzystania środków pochodzących</w:t>
      </w:r>
      <w:r w:rsidR="00D71781">
        <w:rPr>
          <w:rFonts w:ascii="Calibri" w:hAnsi="Calibri" w:cs="Calibri"/>
          <w:sz w:val="22"/>
          <w:szCs w:val="22"/>
        </w:rPr>
        <w:t xml:space="preserve"> </w:t>
      </w:r>
      <w:r w:rsidR="003026C9" w:rsidRPr="007A3550">
        <w:rPr>
          <w:rFonts w:ascii="Calibri" w:hAnsi="Calibri" w:cs="Calibri"/>
          <w:sz w:val="22"/>
          <w:szCs w:val="22"/>
        </w:rPr>
        <w:t>z emisji akcji Spółki.</w:t>
      </w:r>
    </w:p>
    <w:p w14:paraId="27CDA927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V. Kalendarz inwestora, obejmujący wydarzenia mające mieć miejsce w nadchodzącym miesiącu, które dotyczą Spółki i są istotne z punktu widzenia interesów inwestorów, w szczególności daty publikacji raportów okresowych, planowanych walnych zgromadzeń, otwarcia subskrypcji, spotkań z inwestorami lub analitykami, oraz oczekiwany termin publikacji raportu analitycznego:</w:t>
      </w:r>
    </w:p>
    <w:p w14:paraId="17DEFFB5" w14:textId="77777777" w:rsidR="00FB19F2" w:rsidRDefault="00FB19F2" w:rsidP="00FB19F2">
      <w:pPr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F2583C">
        <w:rPr>
          <w:rFonts w:ascii="Calibri" w:hAnsi="Calibri" w:cs="Calibri"/>
          <w:color w:val="000000"/>
          <w:sz w:val="22"/>
          <w:szCs w:val="22"/>
        </w:rPr>
        <w:t xml:space="preserve">Według wiedzy posiadanej na dzień sporządzenia niniejszego raportu, w dniu 14 </w:t>
      </w:r>
      <w:r>
        <w:rPr>
          <w:rFonts w:ascii="Calibri" w:hAnsi="Calibri" w:cs="Calibri"/>
          <w:color w:val="000000"/>
          <w:sz w:val="22"/>
          <w:szCs w:val="22"/>
        </w:rPr>
        <w:t>sierpnia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202</w:t>
      </w:r>
      <w:r>
        <w:rPr>
          <w:rFonts w:ascii="Calibri" w:hAnsi="Calibri" w:cs="Calibri"/>
          <w:color w:val="000000"/>
          <w:sz w:val="22"/>
          <w:szCs w:val="22"/>
        </w:rPr>
        <w:t xml:space="preserve">4 </w:t>
      </w:r>
      <w:r w:rsidRPr="00F2583C">
        <w:rPr>
          <w:rFonts w:ascii="Calibri" w:hAnsi="Calibri" w:cs="Calibri"/>
          <w:color w:val="000000"/>
          <w:sz w:val="22"/>
          <w:szCs w:val="22"/>
        </w:rPr>
        <w:t>roku opublikowany zostanie przez Spółkę raport okresowy Milkpol S.A. za I</w:t>
      </w:r>
      <w:r>
        <w:rPr>
          <w:rFonts w:ascii="Calibri" w:hAnsi="Calibri" w:cs="Calibri"/>
          <w:color w:val="000000"/>
          <w:sz w:val="22"/>
          <w:szCs w:val="22"/>
        </w:rPr>
        <w:t>I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kwartał 20</w:t>
      </w:r>
      <w:r>
        <w:rPr>
          <w:rFonts w:ascii="Calibri" w:hAnsi="Calibri" w:cs="Calibri"/>
          <w:color w:val="000000"/>
          <w:sz w:val="22"/>
          <w:szCs w:val="22"/>
        </w:rPr>
        <w:t>24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roku. Poza wskazanym, Spółka nie przewiduje, aby w okresie miesiąca </w:t>
      </w:r>
      <w:r>
        <w:rPr>
          <w:rFonts w:ascii="Calibri" w:hAnsi="Calibri" w:cs="Calibri"/>
          <w:color w:val="000000"/>
          <w:sz w:val="22"/>
          <w:szCs w:val="22"/>
        </w:rPr>
        <w:t>sierpnia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202</w:t>
      </w:r>
      <w:r>
        <w:rPr>
          <w:rFonts w:ascii="Calibri" w:hAnsi="Calibri" w:cs="Calibri"/>
          <w:color w:val="000000"/>
          <w:sz w:val="22"/>
          <w:szCs w:val="22"/>
        </w:rPr>
        <w:t xml:space="preserve">4 </w:t>
      </w:r>
      <w:r w:rsidRPr="00F2583C">
        <w:rPr>
          <w:rFonts w:ascii="Calibri" w:hAnsi="Calibri" w:cs="Calibri"/>
          <w:color w:val="000000"/>
          <w:sz w:val="22"/>
          <w:szCs w:val="22"/>
        </w:rPr>
        <w:t>roku miały mieć miejsce inne wydarzenia, które mogłyby być istotne z punktu widzenia inwestorów.</w:t>
      </w:r>
      <w:r w:rsidRPr="00DB369D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6104819E" w14:textId="77777777" w:rsidR="006B3D69" w:rsidRPr="00DB369D" w:rsidRDefault="003026C9" w:rsidP="00A21FE1">
      <w:pP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  <w:u w:val="single"/>
        </w:rPr>
        <w:lastRenderedPageBreak/>
        <w:t>Podstawa prawna: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Pkt 16 Załącznika do Uchwały Nr 293/2010 Zarządu Giełdy Papierów Wartościowych w Warszawie SA z dnia 31 marca 2010 roku </w:t>
      </w:r>
      <w:r w:rsidRPr="00DB369D">
        <w:rPr>
          <w:rFonts w:ascii="Calibri" w:hAnsi="Calibri" w:cs="Calibri"/>
          <w:i/>
          <w:color w:val="000000"/>
          <w:sz w:val="22"/>
          <w:szCs w:val="22"/>
        </w:rPr>
        <w:t xml:space="preserve">Dobre Praktyki Spółek Notowanych na </w:t>
      </w:r>
      <w:proofErr w:type="spellStart"/>
      <w:r w:rsidRPr="00DB369D">
        <w:rPr>
          <w:rFonts w:ascii="Calibri" w:hAnsi="Calibri" w:cs="Calibri"/>
          <w:i/>
          <w:color w:val="000000"/>
          <w:sz w:val="22"/>
          <w:szCs w:val="22"/>
        </w:rPr>
        <w:t>NewConnect</w:t>
      </w:r>
      <w:proofErr w:type="spellEnd"/>
      <w:r w:rsidRPr="00DB369D">
        <w:rPr>
          <w:rFonts w:ascii="Calibri" w:hAnsi="Calibri" w:cs="Calibri"/>
          <w:i/>
          <w:color w:val="000000"/>
          <w:sz w:val="22"/>
          <w:szCs w:val="22"/>
        </w:rPr>
        <w:t>.</w:t>
      </w:r>
    </w:p>
    <w:sectPr w:rsidR="006B3D69" w:rsidRPr="00DB369D" w:rsidSect="00D745D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B9BA2" w14:textId="77777777" w:rsidR="005A39F8" w:rsidRDefault="005A39F8" w:rsidP="00CD60F2">
      <w:r>
        <w:separator/>
      </w:r>
    </w:p>
  </w:endnote>
  <w:endnote w:type="continuationSeparator" w:id="0">
    <w:p w14:paraId="48D32C95" w14:textId="77777777" w:rsidR="005A39F8" w:rsidRDefault="005A39F8" w:rsidP="00CD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2CF95" w14:textId="77777777" w:rsidR="005A39F8" w:rsidRDefault="005A39F8" w:rsidP="00CD60F2">
      <w:r>
        <w:separator/>
      </w:r>
    </w:p>
  </w:footnote>
  <w:footnote w:type="continuationSeparator" w:id="0">
    <w:p w14:paraId="7CEA71F3" w14:textId="77777777" w:rsidR="005A39F8" w:rsidRDefault="005A39F8" w:rsidP="00CD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851B6" w14:textId="77777777" w:rsidR="00CD60F2" w:rsidRPr="00CD60F2" w:rsidRDefault="00C510F2" w:rsidP="00CD60F2">
    <w:pPr>
      <w:rPr>
        <w:rFonts w:ascii="Calibri" w:hAnsi="Calibri" w:cs="Calibri"/>
        <w:b/>
        <w:color w:val="C00000"/>
        <w:sz w:val="22"/>
        <w:szCs w:val="22"/>
      </w:rPr>
    </w:pPr>
    <w:r>
      <w:rPr>
        <w:rFonts w:ascii="Calibri" w:hAnsi="Calibri" w:cs="Calibri"/>
        <w:b/>
        <w:color w:val="C00000"/>
        <w:sz w:val="22"/>
        <w:szCs w:val="22"/>
      </w:rPr>
      <w:t xml:space="preserve">Raport bieżący EBI Nr </w:t>
    </w:r>
    <w:r w:rsidR="00544CEA" w:rsidRPr="00305A11">
      <w:rPr>
        <w:rFonts w:ascii="Calibri" w:hAnsi="Calibri" w:cs="Calibri"/>
        <w:b/>
        <w:color w:val="C00000"/>
        <w:sz w:val="22"/>
        <w:szCs w:val="22"/>
      </w:rPr>
      <w:t>1</w:t>
    </w:r>
    <w:r w:rsidR="004939C6">
      <w:rPr>
        <w:rFonts w:ascii="Calibri" w:hAnsi="Calibri" w:cs="Calibri"/>
        <w:b/>
        <w:color w:val="C00000"/>
        <w:sz w:val="22"/>
        <w:szCs w:val="22"/>
      </w:rPr>
      <w:t>8</w:t>
    </w:r>
    <w:r w:rsidR="00CD60F2" w:rsidRPr="00305A11">
      <w:rPr>
        <w:rFonts w:ascii="Calibri" w:hAnsi="Calibri" w:cs="Calibri"/>
        <w:b/>
        <w:color w:val="C00000"/>
        <w:sz w:val="22"/>
        <w:szCs w:val="22"/>
      </w:rPr>
      <w:t>/202</w:t>
    </w:r>
    <w:r w:rsidR="00DD5026" w:rsidRPr="00305A11">
      <w:rPr>
        <w:rFonts w:ascii="Calibri" w:hAnsi="Calibri" w:cs="Calibri"/>
        <w:b/>
        <w:color w:val="C00000"/>
        <w:sz w:val="22"/>
        <w:szCs w:val="22"/>
      </w:rPr>
      <w:t>4</w:t>
    </w:r>
  </w:p>
  <w:p w14:paraId="7DE368EA" w14:textId="77777777" w:rsidR="00CD60F2" w:rsidRDefault="00CD60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D6495"/>
    <w:multiLevelType w:val="hybridMultilevel"/>
    <w:tmpl w:val="1D1C2A78"/>
    <w:lvl w:ilvl="0" w:tplc="BCE08FE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5D1059B"/>
    <w:multiLevelType w:val="hybridMultilevel"/>
    <w:tmpl w:val="B456D53A"/>
    <w:lvl w:ilvl="0" w:tplc="9D0091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82E3E"/>
    <w:multiLevelType w:val="multilevel"/>
    <w:tmpl w:val="5B4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700299">
    <w:abstractNumId w:val="0"/>
  </w:num>
  <w:num w:numId="2" w16cid:durableId="685181363">
    <w:abstractNumId w:val="1"/>
  </w:num>
  <w:num w:numId="3" w16cid:durableId="2119324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C9"/>
    <w:rsid w:val="00002E86"/>
    <w:rsid w:val="00003401"/>
    <w:rsid w:val="000126B0"/>
    <w:rsid w:val="00015D9D"/>
    <w:rsid w:val="00033263"/>
    <w:rsid w:val="00033870"/>
    <w:rsid w:val="00062937"/>
    <w:rsid w:val="00062B3C"/>
    <w:rsid w:val="00075548"/>
    <w:rsid w:val="000869B5"/>
    <w:rsid w:val="000927D1"/>
    <w:rsid w:val="000A5FA0"/>
    <w:rsid w:val="000B0ED6"/>
    <w:rsid w:val="000E2D85"/>
    <w:rsid w:val="000E4CA0"/>
    <w:rsid w:val="000F3F6E"/>
    <w:rsid w:val="000F68DE"/>
    <w:rsid w:val="00103F9B"/>
    <w:rsid w:val="00105146"/>
    <w:rsid w:val="00105627"/>
    <w:rsid w:val="00130D6B"/>
    <w:rsid w:val="00135755"/>
    <w:rsid w:val="00136525"/>
    <w:rsid w:val="00142EEC"/>
    <w:rsid w:val="00144038"/>
    <w:rsid w:val="00145F5D"/>
    <w:rsid w:val="0014609A"/>
    <w:rsid w:val="00152440"/>
    <w:rsid w:val="001644E5"/>
    <w:rsid w:val="0018015D"/>
    <w:rsid w:val="00187CBB"/>
    <w:rsid w:val="0019008D"/>
    <w:rsid w:val="00190A09"/>
    <w:rsid w:val="00197085"/>
    <w:rsid w:val="001A4C44"/>
    <w:rsid w:val="001A7B20"/>
    <w:rsid w:val="001B1EEB"/>
    <w:rsid w:val="001B4CB3"/>
    <w:rsid w:val="001B55E8"/>
    <w:rsid w:val="001C1A03"/>
    <w:rsid w:val="001C39A8"/>
    <w:rsid w:val="001C3BB7"/>
    <w:rsid w:val="001D0F0E"/>
    <w:rsid w:val="001E4DA9"/>
    <w:rsid w:val="001E62CE"/>
    <w:rsid w:val="00201CE4"/>
    <w:rsid w:val="002023A7"/>
    <w:rsid w:val="002112DB"/>
    <w:rsid w:val="0022239B"/>
    <w:rsid w:val="00226239"/>
    <w:rsid w:val="00233091"/>
    <w:rsid w:val="00256B0A"/>
    <w:rsid w:val="002575D2"/>
    <w:rsid w:val="002A24E6"/>
    <w:rsid w:val="002A2FE6"/>
    <w:rsid w:val="002A4502"/>
    <w:rsid w:val="002A688F"/>
    <w:rsid w:val="002B2CF6"/>
    <w:rsid w:val="002C1B69"/>
    <w:rsid w:val="002E665B"/>
    <w:rsid w:val="003026C9"/>
    <w:rsid w:val="00305A11"/>
    <w:rsid w:val="00306C56"/>
    <w:rsid w:val="00317126"/>
    <w:rsid w:val="00323AC0"/>
    <w:rsid w:val="00324CE5"/>
    <w:rsid w:val="00326BE8"/>
    <w:rsid w:val="003466CF"/>
    <w:rsid w:val="0034795F"/>
    <w:rsid w:val="00356A9D"/>
    <w:rsid w:val="00361957"/>
    <w:rsid w:val="00363E40"/>
    <w:rsid w:val="00367A10"/>
    <w:rsid w:val="00370010"/>
    <w:rsid w:val="003701CE"/>
    <w:rsid w:val="00385345"/>
    <w:rsid w:val="003A5EC8"/>
    <w:rsid w:val="003B428B"/>
    <w:rsid w:val="003C4826"/>
    <w:rsid w:val="003D39B1"/>
    <w:rsid w:val="003D586F"/>
    <w:rsid w:val="003D6815"/>
    <w:rsid w:val="003D70BE"/>
    <w:rsid w:val="003E3992"/>
    <w:rsid w:val="003F0438"/>
    <w:rsid w:val="003F4609"/>
    <w:rsid w:val="00400C64"/>
    <w:rsid w:val="0041208F"/>
    <w:rsid w:val="00413B16"/>
    <w:rsid w:val="00413F56"/>
    <w:rsid w:val="0042524B"/>
    <w:rsid w:val="00425716"/>
    <w:rsid w:val="00435AC1"/>
    <w:rsid w:val="00446B27"/>
    <w:rsid w:val="00454B5E"/>
    <w:rsid w:val="0045527A"/>
    <w:rsid w:val="00463C38"/>
    <w:rsid w:val="00470D59"/>
    <w:rsid w:val="00473990"/>
    <w:rsid w:val="004846EA"/>
    <w:rsid w:val="00486236"/>
    <w:rsid w:val="004878F2"/>
    <w:rsid w:val="004939C6"/>
    <w:rsid w:val="004A06E0"/>
    <w:rsid w:val="004A627E"/>
    <w:rsid w:val="004A7294"/>
    <w:rsid w:val="004B16B9"/>
    <w:rsid w:val="004B4133"/>
    <w:rsid w:val="004C661C"/>
    <w:rsid w:val="004D2B27"/>
    <w:rsid w:val="004D6352"/>
    <w:rsid w:val="004E418D"/>
    <w:rsid w:val="004E5A74"/>
    <w:rsid w:val="004E630C"/>
    <w:rsid w:val="004F7B45"/>
    <w:rsid w:val="005063F3"/>
    <w:rsid w:val="0051214B"/>
    <w:rsid w:val="00512672"/>
    <w:rsid w:val="00513C12"/>
    <w:rsid w:val="005163A7"/>
    <w:rsid w:val="0053452E"/>
    <w:rsid w:val="00544CEA"/>
    <w:rsid w:val="00545170"/>
    <w:rsid w:val="00545B47"/>
    <w:rsid w:val="0056476B"/>
    <w:rsid w:val="00594113"/>
    <w:rsid w:val="005A1C2D"/>
    <w:rsid w:val="005A3145"/>
    <w:rsid w:val="005A39F8"/>
    <w:rsid w:val="005A59E5"/>
    <w:rsid w:val="005A6BE1"/>
    <w:rsid w:val="005B432C"/>
    <w:rsid w:val="005D3277"/>
    <w:rsid w:val="005D4462"/>
    <w:rsid w:val="005D654C"/>
    <w:rsid w:val="005E3783"/>
    <w:rsid w:val="005E63B6"/>
    <w:rsid w:val="005F67D2"/>
    <w:rsid w:val="0060630E"/>
    <w:rsid w:val="006143D9"/>
    <w:rsid w:val="00616E7D"/>
    <w:rsid w:val="006240C9"/>
    <w:rsid w:val="0062492C"/>
    <w:rsid w:val="00643E14"/>
    <w:rsid w:val="00653F45"/>
    <w:rsid w:val="0066412F"/>
    <w:rsid w:val="00671929"/>
    <w:rsid w:val="00671D01"/>
    <w:rsid w:val="00673F47"/>
    <w:rsid w:val="00683B39"/>
    <w:rsid w:val="0069080C"/>
    <w:rsid w:val="006961CF"/>
    <w:rsid w:val="006B3D69"/>
    <w:rsid w:val="006D1078"/>
    <w:rsid w:val="006D175D"/>
    <w:rsid w:val="006D273F"/>
    <w:rsid w:val="006D42D0"/>
    <w:rsid w:val="006D7092"/>
    <w:rsid w:val="006E071A"/>
    <w:rsid w:val="006E3892"/>
    <w:rsid w:val="006E5681"/>
    <w:rsid w:val="006F7B24"/>
    <w:rsid w:val="00720A2F"/>
    <w:rsid w:val="00723516"/>
    <w:rsid w:val="00723F28"/>
    <w:rsid w:val="00753C55"/>
    <w:rsid w:val="00754C45"/>
    <w:rsid w:val="00780AB4"/>
    <w:rsid w:val="007A3550"/>
    <w:rsid w:val="007C119A"/>
    <w:rsid w:val="007C33A2"/>
    <w:rsid w:val="007D0A98"/>
    <w:rsid w:val="007D7811"/>
    <w:rsid w:val="007E0739"/>
    <w:rsid w:val="007E5768"/>
    <w:rsid w:val="007F0158"/>
    <w:rsid w:val="007F250B"/>
    <w:rsid w:val="00806B67"/>
    <w:rsid w:val="00806F37"/>
    <w:rsid w:val="008155CA"/>
    <w:rsid w:val="00830159"/>
    <w:rsid w:val="00835716"/>
    <w:rsid w:val="0084253A"/>
    <w:rsid w:val="008446FC"/>
    <w:rsid w:val="00846FC2"/>
    <w:rsid w:val="008542F7"/>
    <w:rsid w:val="0087312D"/>
    <w:rsid w:val="008930AD"/>
    <w:rsid w:val="00893558"/>
    <w:rsid w:val="00895E4F"/>
    <w:rsid w:val="008A0502"/>
    <w:rsid w:val="008A4DCC"/>
    <w:rsid w:val="008B0106"/>
    <w:rsid w:val="008B1887"/>
    <w:rsid w:val="008B514E"/>
    <w:rsid w:val="008B6FB3"/>
    <w:rsid w:val="008C1FF6"/>
    <w:rsid w:val="008C43ED"/>
    <w:rsid w:val="008C498E"/>
    <w:rsid w:val="008D0C25"/>
    <w:rsid w:val="008D36A1"/>
    <w:rsid w:val="008D418D"/>
    <w:rsid w:val="008E55E8"/>
    <w:rsid w:val="009007E6"/>
    <w:rsid w:val="00900A25"/>
    <w:rsid w:val="009310D0"/>
    <w:rsid w:val="009348E4"/>
    <w:rsid w:val="00941526"/>
    <w:rsid w:val="00947630"/>
    <w:rsid w:val="00983EB6"/>
    <w:rsid w:val="009A0F8B"/>
    <w:rsid w:val="009A5220"/>
    <w:rsid w:val="009B5039"/>
    <w:rsid w:val="009C67B7"/>
    <w:rsid w:val="009E1015"/>
    <w:rsid w:val="009E787C"/>
    <w:rsid w:val="009F61CE"/>
    <w:rsid w:val="009F6824"/>
    <w:rsid w:val="00A00AD4"/>
    <w:rsid w:val="00A14DA1"/>
    <w:rsid w:val="00A1530E"/>
    <w:rsid w:val="00A17949"/>
    <w:rsid w:val="00A21FE1"/>
    <w:rsid w:val="00A242D3"/>
    <w:rsid w:val="00A32641"/>
    <w:rsid w:val="00A3363B"/>
    <w:rsid w:val="00A34457"/>
    <w:rsid w:val="00A45925"/>
    <w:rsid w:val="00A50F16"/>
    <w:rsid w:val="00A71A70"/>
    <w:rsid w:val="00A74877"/>
    <w:rsid w:val="00A74EBA"/>
    <w:rsid w:val="00A8216B"/>
    <w:rsid w:val="00A90AFF"/>
    <w:rsid w:val="00AA0CA4"/>
    <w:rsid w:val="00AA7F95"/>
    <w:rsid w:val="00AB64CE"/>
    <w:rsid w:val="00AC7914"/>
    <w:rsid w:val="00AD190A"/>
    <w:rsid w:val="00AE4E76"/>
    <w:rsid w:val="00AE5801"/>
    <w:rsid w:val="00B122BC"/>
    <w:rsid w:val="00B125AA"/>
    <w:rsid w:val="00B214D9"/>
    <w:rsid w:val="00B303EE"/>
    <w:rsid w:val="00B334A4"/>
    <w:rsid w:val="00B42263"/>
    <w:rsid w:val="00B457AB"/>
    <w:rsid w:val="00B46CD1"/>
    <w:rsid w:val="00B55DE7"/>
    <w:rsid w:val="00B57179"/>
    <w:rsid w:val="00B620F3"/>
    <w:rsid w:val="00BA009E"/>
    <w:rsid w:val="00BB5594"/>
    <w:rsid w:val="00BC1D78"/>
    <w:rsid w:val="00BE23F9"/>
    <w:rsid w:val="00BF10D5"/>
    <w:rsid w:val="00BF44F8"/>
    <w:rsid w:val="00C0367B"/>
    <w:rsid w:val="00C07D1E"/>
    <w:rsid w:val="00C11895"/>
    <w:rsid w:val="00C253D1"/>
    <w:rsid w:val="00C36EC9"/>
    <w:rsid w:val="00C3752A"/>
    <w:rsid w:val="00C435D5"/>
    <w:rsid w:val="00C46CBC"/>
    <w:rsid w:val="00C505CA"/>
    <w:rsid w:val="00C50A1D"/>
    <w:rsid w:val="00C510F2"/>
    <w:rsid w:val="00C5194D"/>
    <w:rsid w:val="00C54E44"/>
    <w:rsid w:val="00C56E7E"/>
    <w:rsid w:val="00C736E5"/>
    <w:rsid w:val="00C73FF1"/>
    <w:rsid w:val="00C765DC"/>
    <w:rsid w:val="00C91A1B"/>
    <w:rsid w:val="00C91CA9"/>
    <w:rsid w:val="00C93756"/>
    <w:rsid w:val="00CA19D9"/>
    <w:rsid w:val="00CA3C43"/>
    <w:rsid w:val="00CA57A1"/>
    <w:rsid w:val="00CB4176"/>
    <w:rsid w:val="00CB7B6E"/>
    <w:rsid w:val="00CD0CEA"/>
    <w:rsid w:val="00CD1EBF"/>
    <w:rsid w:val="00CD2D15"/>
    <w:rsid w:val="00CD60F2"/>
    <w:rsid w:val="00CE42CB"/>
    <w:rsid w:val="00CE765A"/>
    <w:rsid w:val="00CF01D1"/>
    <w:rsid w:val="00CF0B5B"/>
    <w:rsid w:val="00CF15DA"/>
    <w:rsid w:val="00D014A5"/>
    <w:rsid w:val="00D06041"/>
    <w:rsid w:val="00D07193"/>
    <w:rsid w:val="00D07DED"/>
    <w:rsid w:val="00D31754"/>
    <w:rsid w:val="00D32CFC"/>
    <w:rsid w:val="00D331B6"/>
    <w:rsid w:val="00D46203"/>
    <w:rsid w:val="00D60101"/>
    <w:rsid w:val="00D623F7"/>
    <w:rsid w:val="00D66276"/>
    <w:rsid w:val="00D71781"/>
    <w:rsid w:val="00D745D7"/>
    <w:rsid w:val="00D74BDE"/>
    <w:rsid w:val="00D75571"/>
    <w:rsid w:val="00D92CB8"/>
    <w:rsid w:val="00D9315F"/>
    <w:rsid w:val="00DA093F"/>
    <w:rsid w:val="00DA5640"/>
    <w:rsid w:val="00DA647F"/>
    <w:rsid w:val="00DB369D"/>
    <w:rsid w:val="00DC46B3"/>
    <w:rsid w:val="00DD5026"/>
    <w:rsid w:val="00DF6BCD"/>
    <w:rsid w:val="00E02E39"/>
    <w:rsid w:val="00E149AD"/>
    <w:rsid w:val="00E16DF2"/>
    <w:rsid w:val="00E17026"/>
    <w:rsid w:val="00E20BB6"/>
    <w:rsid w:val="00E267A1"/>
    <w:rsid w:val="00E26C0C"/>
    <w:rsid w:val="00E3785E"/>
    <w:rsid w:val="00E43FF6"/>
    <w:rsid w:val="00E67509"/>
    <w:rsid w:val="00E70A78"/>
    <w:rsid w:val="00E9274D"/>
    <w:rsid w:val="00E9330B"/>
    <w:rsid w:val="00E93F8C"/>
    <w:rsid w:val="00E94D1F"/>
    <w:rsid w:val="00EA689A"/>
    <w:rsid w:val="00EB145D"/>
    <w:rsid w:val="00ED6DCA"/>
    <w:rsid w:val="00EE2062"/>
    <w:rsid w:val="00EE39AD"/>
    <w:rsid w:val="00EE4872"/>
    <w:rsid w:val="00F00B3B"/>
    <w:rsid w:val="00F06C62"/>
    <w:rsid w:val="00F123C7"/>
    <w:rsid w:val="00F1279E"/>
    <w:rsid w:val="00F1540F"/>
    <w:rsid w:val="00F15F5C"/>
    <w:rsid w:val="00F24CE7"/>
    <w:rsid w:val="00F2583C"/>
    <w:rsid w:val="00F2652A"/>
    <w:rsid w:val="00F34ED1"/>
    <w:rsid w:val="00F42B12"/>
    <w:rsid w:val="00F4696E"/>
    <w:rsid w:val="00F53F7C"/>
    <w:rsid w:val="00F55DB2"/>
    <w:rsid w:val="00F66F2F"/>
    <w:rsid w:val="00F6708D"/>
    <w:rsid w:val="00F71124"/>
    <w:rsid w:val="00F73F86"/>
    <w:rsid w:val="00F80983"/>
    <w:rsid w:val="00FA057E"/>
    <w:rsid w:val="00FA09FF"/>
    <w:rsid w:val="00FA14E7"/>
    <w:rsid w:val="00FA3D2E"/>
    <w:rsid w:val="00FB19F2"/>
    <w:rsid w:val="00FB2793"/>
    <w:rsid w:val="00FC1E05"/>
    <w:rsid w:val="00FC1EF9"/>
    <w:rsid w:val="00FC40DB"/>
    <w:rsid w:val="00FD4303"/>
    <w:rsid w:val="00FF0E0E"/>
    <w:rsid w:val="00FF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2B720"/>
  <w15:docId w15:val="{3952F4F3-63C8-4792-A971-36550B9D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26C9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43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26239"/>
    <w:pPr>
      <w:spacing w:before="100" w:beforeAutospacing="1" w:after="100" w:afterAutospacing="1"/>
    </w:pPr>
    <w:rPr>
      <w:rFonts w:ascii="Verdana" w:hAnsi="Verdana"/>
      <w:sz w:val="13"/>
      <w:szCs w:val="13"/>
    </w:rPr>
  </w:style>
  <w:style w:type="paragraph" w:styleId="Akapitzlist">
    <w:name w:val="List Paragraph"/>
    <w:basedOn w:val="Normalny"/>
    <w:uiPriority w:val="34"/>
    <w:qFormat/>
    <w:rsid w:val="008B51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43FF6"/>
    <w:rPr>
      <w:b/>
      <w:bCs/>
      <w:kern w:val="36"/>
      <w:sz w:val="48"/>
      <w:szCs w:val="48"/>
    </w:rPr>
  </w:style>
  <w:style w:type="character" w:styleId="Odwoaniedokomentarza">
    <w:name w:val="annotation reference"/>
    <w:basedOn w:val="Domylnaczcionkaakapitu"/>
    <w:semiHidden/>
    <w:unhideWhenUsed/>
    <w:rsid w:val="00E16DF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16D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6DF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6D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6DF2"/>
    <w:rPr>
      <w:b/>
      <w:bCs/>
    </w:rPr>
  </w:style>
  <w:style w:type="paragraph" w:styleId="Tekstdymka">
    <w:name w:val="Balloon Text"/>
    <w:basedOn w:val="Normalny"/>
    <w:link w:val="TekstdymkaZnak"/>
    <w:rsid w:val="00E16D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16DF2"/>
    <w:rPr>
      <w:rFonts w:ascii="Tahoma" w:hAnsi="Tahoma" w:cs="Tahoma"/>
      <w:sz w:val="16"/>
      <w:szCs w:val="16"/>
    </w:rPr>
  </w:style>
  <w:style w:type="character" w:customStyle="1" w:styleId="entry-title">
    <w:name w:val="entry-title"/>
    <w:basedOn w:val="Domylnaczcionkaakapitu"/>
    <w:rsid w:val="00B55DE7"/>
  </w:style>
  <w:style w:type="character" w:styleId="Hipercze">
    <w:name w:val="Hyperlink"/>
    <w:basedOn w:val="Domylnaczcionkaakapitu"/>
    <w:uiPriority w:val="99"/>
    <w:semiHidden/>
    <w:unhideWhenUsed/>
    <w:rsid w:val="00B55DE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CD6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60F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CD6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60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7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6412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5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939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7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1841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20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2607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5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1107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7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2859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ier.pl/wiadomosc/MILKPOL-Raport-miesieczny-Milkpol-SA-za-m-c-sierpien-2021-roku-818722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kier.pl/wiadomosc/MILKPOL-Raport-miesieczny-Milkpol-SA-za-m-c-sierpien-2021-roku-8187225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7A16-5741-4CEB-8744-052C91C9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 bieżący EBI NR 17/2017</vt:lpstr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 bieżący EBI NR 17/2017</dc:title>
  <dc:creator>Kacper</dc:creator>
  <cp:lastModifiedBy>Michał Sokolewicz</cp:lastModifiedBy>
  <cp:revision>3</cp:revision>
  <dcterms:created xsi:type="dcterms:W3CDTF">2024-08-14T07:31:00Z</dcterms:created>
  <dcterms:modified xsi:type="dcterms:W3CDTF">2024-08-14T07:31:00Z</dcterms:modified>
</cp:coreProperties>
</file>